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082C0">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关于公布海陵区征地区片综合地价执行</w:t>
      </w:r>
    </w:p>
    <w:p w14:paraId="58972AF9">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标准的通知（征求意见稿）</w:t>
      </w:r>
    </w:p>
    <w:p w14:paraId="3B554AD0">
      <w:pPr>
        <w:pStyle w:val="4"/>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14:paraId="1CB98A2B">
      <w:pPr>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为落实《中华人民共和国土地管理法》《中华人民共和国土地管理法实施条例》《江苏省土地管理条例》规定，维护被征地农民和农村</w:t>
      </w:r>
      <w:bookmarkStart w:id="0" w:name="_GoBack"/>
      <w:bookmarkEnd w:id="0"/>
      <w:r>
        <w:rPr>
          <w:rFonts w:ascii="Times New Roman" w:hAnsi="Times New Roman" w:eastAsia="方正仿宋_GBK" w:cs="Times New Roman"/>
          <w:kern w:val="0"/>
          <w:sz w:val="32"/>
          <w:szCs w:val="32"/>
        </w:rPr>
        <w:t>集体经济组织的合法权益，切实做好土地征收工作，</w:t>
      </w:r>
      <w:r>
        <w:rPr>
          <w:rFonts w:hint="eastAsia" w:ascii="Times New Roman" w:hAnsi="Times New Roman" w:eastAsia="方正仿宋_GBK" w:cs="方正仿宋_GBK"/>
          <w:sz w:val="32"/>
          <w:szCs w:val="32"/>
          <w:lang w:val="en-US" w:eastAsia="zh-CN"/>
        </w:rPr>
        <w:t>根据《关于开展2025年征地区片综合地价调整工作的通知》文件要求</w:t>
      </w:r>
      <w:r>
        <w:rPr>
          <w:rFonts w:hint="eastAsia" w:ascii="Times New Roman" w:hAnsi="Times New Roman" w:eastAsia="方正仿宋_GBK" w:cs="方正仿宋_GBK"/>
          <w:sz w:val="32"/>
          <w:szCs w:val="32"/>
          <w:lang w:eastAsia="zh-CN"/>
        </w:rPr>
        <w:t>，</w:t>
      </w:r>
      <w:r>
        <w:rPr>
          <w:rFonts w:ascii="Times New Roman" w:hAnsi="Times New Roman" w:eastAsia="方正仿宋_GBK" w:cs="Times New Roman"/>
          <w:kern w:val="0"/>
          <w:sz w:val="32"/>
          <w:szCs w:val="32"/>
        </w:rPr>
        <w:t>结合我区经济社会发展实际情况，调整公布全区征地区片综合地价</w:t>
      </w:r>
      <w:r>
        <w:rPr>
          <w:rFonts w:hint="eastAsia" w:ascii="Times New Roman" w:hAnsi="Times New Roman" w:eastAsia="方正仿宋_GBK" w:cs="Times New Roman"/>
          <w:kern w:val="0"/>
          <w:sz w:val="32"/>
          <w:szCs w:val="32"/>
          <w:lang w:eastAsia="zh-CN"/>
        </w:rPr>
        <w:t>执行</w:t>
      </w:r>
      <w:r>
        <w:rPr>
          <w:rFonts w:ascii="Times New Roman" w:hAnsi="Times New Roman" w:eastAsia="方正仿宋_GBK" w:cs="Times New Roman"/>
          <w:kern w:val="0"/>
          <w:sz w:val="32"/>
          <w:szCs w:val="32"/>
        </w:rPr>
        <w:t>标准。现将有关事项通知如下：</w:t>
      </w:r>
    </w:p>
    <w:p w14:paraId="15A071E8">
      <w:pPr>
        <w:spacing w:line="594" w:lineRule="exact"/>
        <w:ind w:firstLine="640"/>
        <w:jc w:val="left"/>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一、全区征收农民集体农用地的区片综合地价由土地补偿费和安置补助费组成，不包括法律规定用于社会保险缴费补贴的被征地农民社会保障费用、地上附着物和青苗等的补偿费用。我区为二类地区，全区征收农民集体所有农用地区片综合地价执行标准为：61000元/亩，其中土地补偿费为30500元/亩、安置补助费为30500元/人。自2026年1月1日起征收农民集体所有农用地区片综合地价，按照上述标准执行。</w:t>
      </w:r>
    </w:p>
    <w:p w14:paraId="4394A6DA">
      <w:pPr>
        <w:spacing w:line="594" w:lineRule="exact"/>
        <w:ind w:firstLine="64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征收集体建设用地参照海陵区征收集体农用地区片综合地价标准执行。征收集体未利用地参照海陵区征收集体农用地区片综合地价标准的0.7倍执行。征收依法取得的集体经营性建设用地，应当按照同地同权的要求，采用宗地地价评估的方式确定补偿标准。</w:t>
      </w:r>
    </w:p>
    <w:p w14:paraId="10CF473A">
      <w:pPr>
        <w:pStyle w:val="4"/>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三、土地征收涉及的地上附着物和青苗等补偿标准，按照《市政府关于公布泰州市征地地上附着物和青苗等补偿标准的通知》（泰政发</w:t>
      </w:r>
      <w:r>
        <w:rPr>
          <w:rFonts w:ascii="Times New Roman" w:hAnsi="Times New Roman" w:eastAsia="仿宋_GB2312" w:cs="Times New Roman"/>
          <w:sz w:val="32"/>
          <w:szCs w:val="32"/>
        </w:rPr>
        <w:t>〔2023〕104号</w:t>
      </w:r>
      <w:r>
        <w:rPr>
          <w:rFonts w:ascii="Times New Roman" w:hAnsi="Times New Roman" w:eastAsia="方正仿宋_GBK" w:cs="Times New Roman"/>
          <w:sz w:val="32"/>
          <w:szCs w:val="32"/>
        </w:rPr>
        <w:t>）执行。</w:t>
      </w:r>
    </w:p>
    <w:p w14:paraId="4717089B">
      <w:pPr>
        <w:pStyle w:val="4"/>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四、被征地农民社会保障费用的筹集、管理和使用办法，按照《泰州市被征地农民社会保障实施办法》（泰政规〔2022〕3号）有关规定执行。</w:t>
      </w:r>
    </w:p>
    <w:p w14:paraId="766601EF">
      <w:pPr>
        <w:ind w:firstLine="640"/>
      </w:pPr>
      <w:r>
        <w:rPr>
          <w:rFonts w:ascii="Times New Roman" w:hAnsi="Times New Roman" w:eastAsia="方正仿宋_GBK" w:cs="Times New Roman"/>
          <w:kern w:val="0"/>
          <w:sz w:val="32"/>
          <w:szCs w:val="32"/>
        </w:rPr>
        <w:t>本通知自2026年1月1日起施行，有效期至2028年12月31日，《关于重新公布海陵区征地区片综合地价执行标准的通知》（泰海政规〔2024〕1号）同时废止。</w:t>
      </w:r>
    </w:p>
    <w:sectPr>
      <w:footerReference r:id="rId5" w:type="default"/>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AB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3AA0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D3AA0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0ZDlmZTQ4MDhhYmJjM2Y2ODAzNWQ5OWM0ZTI0ZWYifQ=="/>
  </w:docVars>
  <w:rsids>
    <w:rsidRoot w:val="00172A27"/>
    <w:rsid w:val="00191434"/>
    <w:rsid w:val="0068342D"/>
    <w:rsid w:val="00AB479B"/>
    <w:rsid w:val="0270509D"/>
    <w:rsid w:val="05745BF5"/>
    <w:rsid w:val="091E5594"/>
    <w:rsid w:val="0C645A19"/>
    <w:rsid w:val="185A225C"/>
    <w:rsid w:val="1BFD6F6E"/>
    <w:rsid w:val="1F5122ED"/>
    <w:rsid w:val="1FF60FB3"/>
    <w:rsid w:val="2C7119C9"/>
    <w:rsid w:val="2F664077"/>
    <w:rsid w:val="314143AA"/>
    <w:rsid w:val="32827737"/>
    <w:rsid w:val="353E1CDB"/>
    <w:rsid w:val="35DF6510"/>
    <w:rsid w:val="3BB11F43"/>
    <w:rsid w:val="3BCB5B24"/>
    <w:rsid w:val="3CD56610"/>
    <w:rsid w:val="435F4B93"/>
    <w:rsid w:val="4E525BD8"/>
    <w:rsid w:val="51937696"/>
    <w:rsid w:val="5E410708"/>
    <w:rsid w:val="5F607BAC"/>
    <w:rsid w:val="62BE336D"/>
    <w:rsid w:val="7B2E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line="240" w:lineRule="auto"/>
      <w:ind w:firstLine="0" w:firstLineChars="0"/>
      <w:jc w:val="left"/>
    </w:pPr>
    <w:rPr>
      <w:rFonts w:ascii="Arial Unicode MS" w:hAnsi="Arial Unicode MS" w:eastAsia="Arial Unicode MS" w:cs="Arial Unicode MS"/>
      <w:kern w:val="0"/>
      <w:sz w:val="24"/>
      <w:szCs w:val="24"/>
    </w:rPr>
  </w:style>
  <w:style w:type="paragraph" w:customStyle="1" w:styleId="7">
    <w:name w:val="文头"/>
    <w:basedOn w:val="8"/>
    <w:qFormat/>
    <w:uiPriority w:val="0"/>
    <w:pPr>
      <w:spacing w:before="320" w:after="0"/>
      <w:ind w:left="227" w:right="227"/>
      <w:jc w:val="distribute"/>
    </w:pPr>
    <w:rPr>
      <w:rFonts w:ascii="汉鼎简大宋" w:hAnsi="汉鼎简大宋" w:eastAsia="汉鼎简大宋"/>
      <w:color w:val="FF0000"/>
      <w:spacing w:val="36"/>
      <w:w w:val="82"/>
      <w:sz w:val="90"/>
    </w:rPr>
  </w:style>
  <w:style w:type="paragraph" w:customStyle="1" w:styleId="8">
    <w:name w:val="红线"/>
    <w:basedOn w:val="1"/>
    <w:qFormat/>
    <w:uiPriority w:val="0"/>
    <w:pPr>
      <w:adjustRightInd w:val="0"/>
      <w:snapToGrid/>
      <w:spacing w:after="170" w:line="227" w:lineRule="atLeast"/>
      <w:ind w:firstLine="0"/>
      <w:jc w:val="center"/>
    </w:pPr>
    <w:rPr>
      <w:sz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674</Words>
  <Characters>713</Characters>
  <Lines>10</Lines>
  <Paragraphs>3</Paragraphs>
  <TotalTime>0</TotalTime>
  <ScaleCrop>false</ScaleCrop>
  <LinksUpToDate>false</LinksUpToDate>
  <CharactersWithSpaces>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2023-07-12T01:19:00Z</dcterms:created>
  <dc:creator>why</dc:creator>
  <cp:lastModifiedBy>kimchu</cp:lastModifiedBy>
  <cp:lastPrinted>2023-12-15T06:18:00Z</cp:lastPrinted>
  <dcterms:modified xsi:type="dcterms:W3CDTF">2025-11-14T01:23:54Z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05FD04AE303243A6A70D8FDCDCC249EB_13</vt:lpwstr>
  </property>
  <property fmtid="{D5CDD505-2E9C-101B-9397-08002B2CF9AE}" pid="4" name="KSOTemplateDocerSaveRecord">
    <vt:lpwstr>eyJoZGlkIjoiOWI0ZDlmZTQ4MDhhYmJjM2Y2ODAzNWQ5OWM0ZTI0ZWYiLCJ1c2VySWQiOiIzNDQ2OTA4In0=</vt:lpwstr>
  </property>
</Properties>
</file>